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Bdr>
          <w:bottom w:val="single" w:sz="8" w:space="3" w:color="000000"/>
        </w:pBdr>
      </w:pPr>
      <w:r>
        <w:rPr>
          <w:color w:val="000000"/>
        </w:rPr>
        <w:t>CV DANIYAROV ZHALGAS</w:t>
      </w:r>
    </w:p>
    <w:p>
      <w:r>
        <w:rPr>
          <w:b/>
          <w:color w:val="000000"/>
          <w:sz w:val="19"/>
        </w:rPr>
        <w:t>PUBLIC AFFAIRS  |  GOVERNMENT RELATIONS  |  CORPORATE AFFAIRS  |  INSTITUTIONAL LEADERSHIP</w:t>
      </w:r>
    </w:p>
    <w:p>
      <w:pPr>
        <w:spacing w:after="100"/>
        <w:pBdr>
          <w:bottom w:val="single" w:sz="8" w:space="3" w:color="000000"/>
        </w:pBdr>
      </w:pPr>
      <w:r>
        <w:rPr>
          <w:color w:val="000000"/>
        </w:rPr>
        <w:t>Astana, Kazakhstan   |   zhalgas.daniyarov@gmail.com   |   +7 701 255 50 65</w:t>
      </w:r>
    </w:p>
    <w:p>
      <w:pPr>
        <w:pStyle w:val="Heading1"/>
      </w:pPr>
      <w:r>
        <w:rPr>
          <w:color w:val="000000"/>
        </w:rPr>
        <w:t>EXECUTIVE PROFILE</w:t>
      </w:r>
    </w:p>
    <w:p>
      <w:r>
        <w:rPr>
          <w:color w:val="000000"/>
        </w:rPr>
        <w:t>Senior executive with 25+ years of leadership experience at the intersection of government, international affairs and multinational business. Career spans diplomacy, energy, technology and innovative healthcare, with a record of building institutional relationships, shaping public-policy environments and converting complex stakeholder agendas into measurable business and societal outcomes. Deep expertise in Kazakhstan and Central Asia, complemented by international experience in Europe and sustained engagement with governments, diplomatic missions, industry bodies and global corporate leadership.</w:t>
      </w:r>
    </w:p>
    <w:p>
      <w:pPr>
        <w:pStyle w:val="Heading1"/>
      </w:pPr>
      <w:r>
        <w:rPr>
          <w:color w:val="000000"/>
        </w:rPr>
        <w:t>SIGNATURE IMPACT</w:t>
      </w:r>
    </w:p>
    <w:p>
      <w:pPr>
        <w:pStyle w:val="ListBullet"/>
        <w:spacing w:after="40"/>
        <w:ind w:left="259" w:hanging="173"/>
      </w:pPr>
      <w:r>
        <w:rPr>
          <w:b/>
        </w:rPr>
        <w:t>BUILT ASTRAZENECA KAZAKHSTAN'S EXTERNAL AFFAIRS FUNCTION FROM THE GROUND UP</w:t>
      </w:r>
      <w:r>
        <w:t xml:space="preserve"> - created the operating model, governance and stakeholder platform; recruited and developed the team; and embedded External Affairs across business, healthcare, investment and industrial-policy priorities.</w:t>
      </w:r>
    </w:p>
    <w:p>
      <w:pPr>
        <w:pStyle w:val="ListBullet"/>
        <w:spacing w:after="40"/>
        <w:ind w:left="259" w:hanging="173"/>
      </w:pPr>
      <w:r>
        <w:rPr>
          <w:b/>
          <w:color w:val="000000"/>
        </w:rPr>
        <w:t>ADVANCED A LANDMARK LOCALIZATION AND INVESTMENT AGENDA</w:t>
      </w:r>
      <w:r>
        <w:rPr>
          <w:color w:val="000000"/>
        </w:rPr>
        <w:t xml:space="preserve"> - helped move AstraZeneca from policy dialogue toward a structured long-term localization pathway, supported by high-level government engagement and an investment roadmap.</w:t>
      </w:r>
    </w:p>
    <w:p>
      <w:pPr>
        <w:pStyle w:val="ListBullet"/>
        <w:spacing w:after="40"/>
        <w:ind w:left="259" w:hanging="173"/>
      </w:pPr>
      <w:r>
        <w:rPr>
          <w:b/>
          <w:color w:val="000000"/>
        </w:rPr>
        <w:t>BUILT AN INTERGOVERNMENTAL ENGAGEMENT PLATFORM</w:t>
      </w:r>
      <w:r>
        <w:rPr>
          <w:color w:val="000000"/>
        </w:rPr>
        <w:t xml:space="preserve"> - established sustained channels connecting Kazakhstan with UK, Swedish and other international stakeholders around healthcare, life sciences, innovation, investment and localization.</w:t>
      </w:r>
    </w:p>
    <w:p>
      <w:pPr>
        <w:pStyle w:val="ListBullet"/>
        <w:spacing w:after="40"/>
        <w:ind w:left="259" w:hanging="173"/>
      </w:pPr>
      <w:r>
        <w:rPr>
          <w:b/>
          <w:color w:val="000000"/>
        </w:rPr>
        <w:t>SUPPORTED A PERIOD OF MULTIPLE BUSINESS EXPANSION</w:t>
      </w:r>
      <w:r>
        <w:rPr>
          <w:color w:val="000000"/>
        </w:rPr>
        <w:t xml:space="preserve"> - aligned public affairs, policy, access and stakeholder strategy with AstraZeneca Kazakhstan's rapid growth and increasing strategic relevance within the market.</w:t>
      </w:r>
    </w:p>
    <w:p>
      <w:pPr>
        <w:pStyle w:val="ListBullet"/>
        <w:spacing w:after="40"/>
        <w:ind w:left="259" w:hanging="173"/>
      </w:pPr>
      <w:r>
        <w:rPr>
          <w:b/>
          <w:color w:val="000000"/>
        </w:rPr>
        <w:t>BUILT ORGANIZATIONAL CAPABILITY BEYOND TRADITIONAL GR</w:t>
      </w:r>
      <w:r>
        <w:rPr>
          <w:color w:val="000000"/>
        </w:rPr>
        <w:t xml:space="preserve"> - contributed to the development and maturation of Market Access and broader cross-functional capabilities, strengthening collaboration across leadership, commercial, medical, finance and people functions.</w:t>
      </w:r>
    </w:p>
    <w:p>
      <w:pPr>
        <w:pStyle w:val="ListBullet"/>
        <w:spacing w:after="40"/>
        <w:ind w:left="259" w:hanging="173"/>
      </w:pPr>
      <w:r>
        <w:rPr>
          <w:b/>
          <w:color w:val="000000"/>
        </w:rPr>
        <w:t>DELIVERED WITHIN GLOBAL GOVERNANCE STANDARDS</w:t>
      </w:r>
      <w:r>
        <w:rPr>
          <w:color w:val="000000"/>
        </w:rPr>
        <w:t xml:space="preserve"> - supported successful audit, compliance and assurance processes while operating in a complex, highly regulated and reputationally sensitive environment.</w:t>
      </w:r>
    </w:p>
    <w:p>
      <w:pPr>
        <w:pStyle w:val="ListBullet"/>
        <w:spacing w:after="40"/>
        <w:ind w:left="259" w:hanging="173"/>
      </w:pPr>
      <w:r>
        <w:rPr>
          <w:b/>
          <w:color w:val="000000"/>
        </w:rPr>
        <w:t>TRANSLATED GLOBAL AMBITION INTO LOCAL EXECUTION</w:t>
      </w:r>
      <w:r>
        <w:rPr>
          <w:color w:val="000000"/>
        </w:rPr>
        <w:t xml:space="preserve"> - converted AstraZeneca's Rocket Ambition priorities into an actionable Kazakhstan strategy spanning policy, access, investment, partnerships and institutional engagement.</w:t>
      </w:r>
    </w:p>
    <w:p>
      <w:pPr>
        <w:pStyle w:val="Heading1"/>
      </w:pPr>
      <w:r>
        <w:rPr>
          <w:color w:val="000000"/>
        </w:rPr>
        <w:t>CAREER</w:t>
      </w:r>
    </w:p>
    <w:p>
      <w:pPr>
        <w:spacing w:before="40"/>
      </w:pPr>
      <w:r>
        <w:rPr>
          <w:b/>
          <w:color w:val="000000"/>
          <w:sz w:val="18"/>
        </w:rPr>
        <w:t>2020-2026  |  Public Affairs &amp; Government Relations Director</w:t>
      </w:r>
      <w:r>
        <w:rPr>
          <w:i/>
          <w:color w:val="000000"/>
        </w:rPr>
        <w:br/>
        <w:t>AstraZeneca Kazakhstan</w:t>
      </w:r>
    </w:p>
    <w:p>
      <w:r>
        <w:rPr>
          <w:color w:val="000000"/>
        </w:rPr>
        <w:t>Senior Leadership Team member accountable for government relations, public policy, external affairs and strategic stakeholder engagement in Kazakhstan.</w:t>
      </w:r>
    </w:p>
    <w:p>
      <w:pPr>
        <w:pStyle w:val="ListBullet"/>
        <w:ind w:left="259" w:hanging="173"/>
      </w:pPr>
      <w:r>
        <w:rPr>
          <w:color w:val="000000"/>
        </w:rPr>
        <w:t>Led the external agenda supporting market access, investment, localization, reputation and sustainable business growth; managed senior relationships across government, diplomatic and industry stakeholders.</w:t>
      </w:r>
    </w:p>
    <w:p>
      <w:pPr>
        <w:pStyle w:val="ListBullet"/>
        <w:ind w:left="259" w:hanging="173"/>
      </w:pPr>
      <w:r>
        <w:t>Recruited and developed the current External Communications Manager; established regulatory, compliance and ethical governance and a clear succession pipeline.</w:t>
      </w:r>
    </w:p>
    <w:p>
      <w:pPr>
        <w:pStyle w:val="ListBullet"/>
        <w:ind w:left="259" w:hanging="173"/>
      </w:pPr>
      <w:r>
        <w:t>Built a non-promotional disease-awareness platform across chronic kidney disease, COPD, lupus, neurofibromatosis and rare diseases, uniting physicians, patient groups and media; enabled the Young Health Programme in Kazakhstan and the award-recognized Rare Diseases campaign featuring the Nur Alem illumination and a children's book.</w:t>
      </w:r>
    </w:p>
    <w:p>
      <w:pPr>
        <w:pageBreakBefore/>
        <w:spacing w:before="40"/>
      </w:pPr>
      <w:r>
        <w:rPr>
          <w:b/>
          <w:color w:val="000000"/>
          <w:sz w:val="18"/>
        </w:rPr>
        <w:t>2016-2020  |  Public Affairs Director, Central Asia &amp; Caucasus</w:t>
      </w:r>
      <w:r>
        <w:rPr>
          <w:i/>
          <w:color w:val="000000"/>
        </w:rPr>
        <w:br/>
        <w:t>Sanofi</w:t>
      </w:r>
    </w:p>
    <w:p>
      <w:r>
        <w:rPr>
          <w:color w:val="000000"/>
        </w:rPr>
        <w:t>Led public affairs and stakeholder strategy across multiple markets, shaping policy environments and supporting sustainable patient access to medicines and vaccines.</w:t>
      </w:r>
    </w:p>
    <w:p>
      <w:pPr>
        <w:spacing w:before="40"/>
      </w:pPr>
      <w:r>
        <w:rPr>
          <w:b/>
          <w:color w:val="000000"/>
          <w:sz w:val="18"/>
        </w:rPr>
        <w:t>2014-2016  |  External Affairs Manager</w:t>
      </w:r>
      <w:r>
        <w:rPr>
          <w:i/>
          <w:color w:val="000000"/>
        </w:rPr>
        <w:br/>
        <w:t>Merck Sharp &amp; Dohme (MSD), Kazakhstan</w:t>
      </w:r>
    </w:p>
    <w:p>
      <w:r>
        <w:rPr>
          <w:color w:val="000000"/>
        </w:rPr>
        <w:t>Led government relations, public-policy strategy and external communications across vaccines, hepatitis, oncology and diabetes.</w:t>
      </w:r>
    </w:p>
    <w:p>
      <w:pPr>
        <w:pageBreakBefore w:val="0"/>
        <w:spacing w:before="40"/>
      </w:pPr>
      <w:r>
        <w:rPr>
          <w:b/>
          <w:color w:val="000000"/>
          <w:sz w:val="18"/>
        </w:rPr>
        <w:t>2011-2014  |  External Affairs &amp; Communications Manager</w:t>
      </w:r>
      <w:r>
        <w:rPr>
          <w:i/>
          <w:color w:val="000000"/>
        </w:rPr>
        <w:br/>
        <w:t>NC Production Operations Company / North Caspian Project</w:t>
      </w:r>
    </w:p>
    <w:p>
      <w:r>
        <w:rPr>
          <w:color w:val="000000"/>
        </w:rPr>
        <w:t>Managed external affairs and communications in the Kashagan operating environment, including government, community and social-infrastructure interfaces.</w:t>
      </w:r>
    </w:p>
    <w:p>
      <w:pPr>
        <w:spacing w:before="40"/>
      </w:pPr>
      <w:r>
        <w:rPr>
          <w:b/>
          <w:color w:val="000000"/>
          <w:sz w:val="18"/>
        </w:rPr>
        <w:t>2009-2011  |  Deputy External Affairs Manager</w:t>
      </w:r>
      <w:r>
        <w:rPr>
          <w:i/>
          <w:color w:val="000000"/>
        </w:rPr>
        <w:br/>
        <w:t>Shell Development Kashagan B.V., The Hague</w:t>
      </w:r>
    </w:p>
    <w:p>
      <w:r>
        <w:rPr>
          <w:color w:val="000000"/>
        </w:rPr>
        <w:t>Supported external-affairs strategy for Shell's Kazakhstan interests from its international headquarters.</w:t>
      </w:r>
    </w:p>
    <w:p>
      <w:pPr>
        <w:spacing w:before="40"/>
      </w:pPr>
      <w:r>
        <w:rPr>
          <w:b/>
          <w:color w:val="000000"/>
          <w:sz w:val="18"/>
        </w:rPr>
        <w:t>2006-2009  |  Regional Strategic Advisor / Country Manager</w:t>
      </w:r>
      <w:r>
        <w:rPr>
          <w:i/>
          <w:color w:val="000000"/>
        </w:rPr>
        <w:br/>
        <w:t>Tata Consultancy Services (TCS)</w:t>
      </w:r>
    </w:p>
    <w:p>
      <w:r>
        <w:rPr>
          <w:color w:val="000000"/>
        </w:rPr>
        <w:t>Led regional representation and business development; built alliances with IBM, SAP, Oracle and Microsoft and developed partnerships for major e-government and enterprise-transformation opportunities.</w:t>
      </w:r>
    </w:p>
    <w:p>
      <w:pPr>
        <w:spacing w:before="40"/>
      </w:pPr>
      <w:r>
        <w:rPr>
          <w:b/>
          <w:color w:val="000000"/>
          <w:sz w:val="18"/>
        </w:rPr>
        <w:t>2003-2006  |  Economic Attaché</w:t>
      </w:r>
      <w:r>
        <w:rPr>
          <w:i/>
          <w:color w:val="000000"/>
        </w:rPr>
        <w:br/>
        <w:t>Embassy of the Republic of Kazakhstan / Ministry of Foreign Affairs</w:t>
      </w:r>
    </w:p>
    <w:p>
      <w:r>
        <w:rPr>
          <w:color w:val="000000"/>
        </w:rPr>
        <w:t>Supported economic diplomacy, investment engagement and strategic stakeholder coordination across Central and Eastern Europe.</w:t>
      </w:r>
    </w:p>
    <w:p>
      <w:pPr>
        <w:spacing w:before="40"/>
      </w:pPr>
      <w:r>
        <w:rPr>
          <w:b/>
          <w:color w:val="000000"/>
          <w:sz w:val="18"/>
        </w:rPr>
        <w:t>1998-2001  |  Commercial &amp; Logistics Roles</w:t>
      </w:r>
      <w:r>
        <w:rPr>
          <w:i/>
          <w:color w:val="000000"/>
        </w:rPr>
        <w:br/>
        <w:t>KazakhOil / Rosneft, Pavlodar Refinery</w:t>
      </w:r>
    </w:p>
    <w:p>
      <w:r>
        <w:rPr>
          <w:color w:val="000000"/>
        </w:rPr>
        <w:t>Early career in petroleum-product sales, procurement, logistics and crude-oil supply-chain coordination.</w:t>
      </w:r>
    </w:p>
    <w:p>
      <w:pPr>
        <w:pStyle w:val="Heading1"/>
      </w:pPr>
      <w:r>
        <w:rPr>
          <w:color w:val="000000"/>
        </w:rPr>
        <w:t>EDUCATION</w:t>
      </w:r>
    </w:p>
    <w:p>
      <w:r>
        <w:rPr>
          <w:color w:val="000000"/>
        </w:rPr>
        <w:t>BSc, Political Science - Istanbul University, Turkey, 1997 | Presidential Scholarship of Kazakhstan</w:t>
      </w:r>
    </w:p>
    <w:p>
      <w:r>
        <w:rPr>
          <w:color w:val="000000"/>
        </w:rPr>
        <w:t>Bachelor of Law - Kazakh Institute of Law and International Relations, Almaty, 2002</w:t>
      </w:r>
    </w:p>
    <w:p>
      <w:r>
        <w:rPr>
          <w:color w:val="000000"/>
        </w:rPr>
        <w:t>Diplomatic Academy, Ministry of Foreign Affairs of Kazakhstan - Professional Qualification Programme, 2003-2005</w:t>
      </w:r>
    </w:p>
    <w:p>
      <w:pPr>
        <w:pStyle w:val="Heading1"/>
      </w:pPr>
      <w:r>
        <w:rPr>
          <w:color w:val="000000"/>
        </w:rPr>
        <w:t>CORE EXPERTISE</w:t>
      </w:r>
    </w:p>
    <w:p>
      <w:r>
        <w:rPr>
          <w:color w:val="000000"/>
        </w:rPr>
        <w:t>Government Relations  |  Public Policy  |  Corporate Affairs  |  Economic Diplomacy  |  Strategic Communications  |  Stakeholder Engagement  |  Market Access  |  Healthcare Policy  |  Investment &amp; Localization  |  Reputation &amp; Issues Management  |  Cross-functional Leadership  |  Central Asia</w:t>
      </w:r>
    </w:p>
    <w:p>
      <w:pPr>
        <w:pStyle w:val="Heading1"/>
      </w:pPr>
      <w:r>
        <w:rPr>
          <w:color w:val="000000"/>
        </w:rPr>
        <w:t>LANGUAGES</w:t>
      </w:r>
    </w:p>
    <w:p>
      <w:r>
        <w:rPr>
          <w:color w:val="000000"/>
        </w:rPr>
        <w:t>Kazakh - native  |  Russian - native  |  English - professional  |  Turkish - professional  |  Hungarian - intermediate</w:t>
      </w:r>
    </w:p>
    <w:sectPr w:rsidR="00FC693F" w:rsidRPr="0006063C" w:rsidSect="00034616">
      <w:footerReference w:type="default" r:id="rId9"/>
      <w:pgSz w:w="12240" w:h="15840"/>
      <w:pgMar w:top="662" w:right="893" w:bottom="66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Inter" w:hAnsi="Inter"/>
        <w:color w:val="000000"/>
        <w:sz w:val="14"/>
      </w:rPr>
      <w:t>CV Daniyarov Zhalgas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5" w:lineRule="auto"/>
    </w:pPr>
    <w:rPr>
      <w:rFonts w:ascii="Inter" w:hAnsi="Inter"/>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Inter" w:hAnsi="Inter"/>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pPr>
    <w:rPr>
      <w:rFonts w:asciiTheme="majorHAnsi" w:eastAsiaTheme="majorEastAsia" w:hAnsiTheme="majorHAnsi" w:cstheme="majorBidi" w:ascii="Inter" w:hAnsi="Inter"/>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